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33" w:rsidRPr="0099515E" w:rsidRDefault="00437F33" w:rsidP="00437F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margin-left:-12.85pt;margin-top:11.5pt;width:208.8pt;height:82.9pt;z-index:251661312" filled="f" strokecolor="white">
            <v:textbox style="mso-next-textbox:#_x0000_s1027" inset="1pt,1pt,1pt,1pt">
              <w:txbxContent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Cyr Bash Normal" w:hAnsi="Times Cyr Bash Normal"/>
                      <w:b/>
                      <w:bCs/>
                      <w:sz w:val="24"/>
                      <w:szCs w:val="24"/>
                    </w:rPr>
                  </w:pPr>
                  <w:r w:rsidRPr="0099515E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437F33" w:rsidRDefault="00437F33" w:rsidP="00437F33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437F33" w:rsidRPr="0099515E" w:rsidRDefault="00437F33" w:rsidP="00437F3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296.9pt;margin-top:6.85pt;width:202.95pt;height:80.45pt;z-index:251660288" o:allowincell="f" filled="f" strokecolor="white">
            <v:textbox style="mso-next-textbox:#_x0000_s1026" inset="1pt,1pt,1pt,1pt">
              <w:txbxContent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437F33" w:rsidRPr="0099515E" w:rsidRDefault="00437F33" w:rsidP="00437F33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515E">
                    <w:rPr>
                      <w:rFonts w:ascii="Times New Roman" w:hAnsi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437F33" w:rsidRDefault="00437F33" w:rsidP="00437F33">
                  <w:pPr>
                    <w:jc w:val="center"/>
                  </w:pPr>
                </w:p>
              </w:txbxContent>
            </v:textbox>
          </v:rect>
        </w:pict>
      </w:r>
      <w:r w:rsidRPr="009951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5BED21" wp14:editId="04A5196E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33" w:rsidRPr="0099515E" w:rsidRDefault="00437F33" w:rsidP="00437F3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F33" w:rsidRPr="0099515E" w:rsidRDefault="00437F33" w:rsidP="00437F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437F33" w:rsidRPr="0099515E" w:rsidRDefault="00437F33" w:rsidP="00437F3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37F33" w:rsidRPr="0099515E" w:rsidRDefault="00437F33" w:rsidP="00437F3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37F33" w:rsidRPr="0099515E" w:rsidRDefault="00437F33" w:rsidP="00437F3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37F33" w:rsidRPr="0099515E" w:rsidRDefault="00437F33" w:rsidP="00437F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7F33" w:rsidRPr="0099515E" w:rsidRDefault="00437F33" w:rsidP="00437F3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37F33" w:rsidRPr="0099515E" w:rsidRDefault="00437F33" w:rsidP="00437F3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8" style="position:absolute;z-index:251662336" from="9pt,3.45pt" to="493.2pt,3.45pt" strokeweight="4.5pt">
            <v:stroke linestyle="thickThin"/>
          </v:line>
        </w:pict>
      </w:r>
      <w:r w:rsidRPr="00995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437F33" w:rsidRPr="0099515E" w:rsidRDefault="00437F33" w:rsidP="00437F3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9515E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99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:rsidR="00437F33" w:rsidRPr="0099515E" w:rsidRDefault="00437F33" w:rsidP="00437F3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 __________ 2021 й.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9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58</w:t>
      </w:r>
      <w:r w:rsidRPr="0099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95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 _________ 2021 г.         </w:t>
      </w:r>
    </w:p>
    <w:p w:rsidR="00437F33" w:rsidRDefault="00437F33" w:rsidP="00437F33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57548A" w:rsidRDefault="0057548A" w:rsidP="0057548A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94" w:rsidRPr="0057548A" w:rsidRDefault="00437F33" w:rsidP="0057548A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</w:t>
      </w:r>
      <w:r w:rsidR="001C39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</w:t>
      </w:r>
    </w:p>
    <w:p w:rsidR="00692ECA" w:rsidRPr="008876E0" w:rsidRDefault="00692ECA" w:rsidP="0043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Требований</w:t>
      </w:r>
      <w:r w:rsidR="00437F33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определению нормативных затрат</w:t>
      </w:r>
    </w:p>
    <w:p w:rsidR="00692ECA" w:rsidRPr="008876E0" w:rsidRDefault="00692ECA" w:rsidP="0043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функций</w:t>
      </w:r>
      <w:r w:rsidR="00437F33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</w:p>
    <w:p w:rsidR="00692ECA" w:rsidRPr="008876E0" w:rsidRDefault="0035114A" w:rsidP="0043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Месягутовский</w:t>
      </w:r>
      <w:r w:rsidR="00692ECA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</w:t>
      </w:r>
      <w:r w:rsidR="00437F33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2ECA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811E3A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Дуванский</w:t>
      </w:r>
      <w:r w:rsidR="00692ECA"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692ECA" w:rsidRPr="008876E0" w:rsidRDefault="00692ECA" w:rsidP="0043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3D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13 октября 2014 г.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Постановлением Правительства Республики Башкортостан   от 30 декабря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№573 «О Правилах определения нормативных затрат на обеспечение функций государственных органов Республики Башкортостан, органов управления территориальными государственными внебюджетными фондами Республики Башкортостан,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учреждения»,  </w:t>
      </w: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Требования к определению нормативных затрат на обеспечение функций Администрации сельского поселения </w:t>
      </w:r>
      <w:r w:rsidR="0035114A" w:rsidRPr="0035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Требования к определению нормативных затрат).</w:t>
      </w: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</w:t>
      </w:r>
      <w:r w:rsidR="0035114A" w:rsidRPr="0035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811E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срок до </w:t>
      </w:r>
      <w:r w:rsidR="0035114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11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692ECA" w:rsidRP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692ECA" w:rsidRPr="007B20C8" w:rsidRDefault="00692ECA" w:rsidP="007B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F33" w:rsidRPr="00F606C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по адресу: с.</w:t>
      </w:r>
      <w:r w:rsidR="00437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F33" w:rsidRPr="00F606C7">
        <w:rPr>
          <w:rFonts w:ascii="Times New Roman" w:hAnsi="Times New Roman" w:cs="Times New Roman"/>
          <w:sz w:val="28"/>
          <w:szCs w:val="28"/>
          <w:lang w:eastAsia="ru-RU"/>
        </w:rPr>
        <w:t>Месягутово, ул.</w:t>
      </w:r>
      <w:r w:rsidR="00437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F33" w:rsidRPr="00F606C7">
        <w:rPr>
          <w:rFonts w:ascii="Times New Roman" w:hAnsi="Times New Roman" w:cs="Times New Roman"/>
          <w:sz w:val="28"/>
          <w:szCs w:val="28"/>
          <w:lang w:eastAsia="ru-RU"/>
        </w:rPr>
        <w:t>И.Усова, д.3 и на</w:t>
      </w:r>
      <w:r w:rsidR="00437F33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</w:t>
      </w:r>
      <w:r w:rsidR="00437F33" w:rsidRPr="00F6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F33" w:rsidRPr="007B20C8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Месягутовский сельсовет муниципального района Дуванский район Республики http://месягут.рф/</w:t>
      </w:r>
      <w:r w:rsidR="007B20C8" w:rsidRPr="007B20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0C8" w:rsidRPr="007B20C8" w:rsidRDefault="007B20C8" w:rsidP="007B20C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0C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92ECA" w:rsidRPr="007B20C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7B20C8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главы сельского поселения Месягутовский сельсовет муниципального района Дуванский район Республики Башкортостан от 15 ноября 2017 г. </w:t>
      </w:r>
      <w:r w:rsidRPr="007B20C8">
        <w:rPr>
          <w:rFonts w:ascii="Times New Roman" w:eastAsia="Calibri" w:hAnsi="Times New Roman" w:cs="Times New Roman"/>
          <w:bCs/>
          <w:sz w:val="28"/>
          <w:szCs w:val="28"/>
        </w:rPr>
        <w:t>№ 363</w:t>
      </w:r>
      <w:r w:rsidRPr="007B20C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B20C8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определению нормативных затрат на обеспечение функций в сельском поселении Месягутовский сельсовет муниципального района Дуванский район Республики Башкортостан, в том числе подведомственных им казенных учреждений</w:t>
      </w:r>
      <w:r w:rsidRPr="007B20C8"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692ECA" w:rsidRPr="007B20C8" w:rsidRDefault="007B20C8" w:rsidP="007B20C8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0C8">
        <w:rPr>
          <w:rFonts w:ascii="Times New Roman" w:hAnsi="Times New Roman" w:cs="Times New Roman"/>
          <w:sz w:val="28"/>
          <w:szCs w:val="28"/>
          <w:lang w:eastAsia="ru-RU"/>
        </w:rPr>
        <w:t xml:space="preserve">      6. </w:t>
      </w:r>
      <w:r w:rsidR="00692ECA" w:rsidRPr="007B20C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</w:t>
      </w:r>
      <w:r w:rsidRPr="007B20C8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оставляю за собой.  </w:t>
      </w:r>
    </w:p>
    <w:p w:rsidR="00692ECA" w:rsidRDefault="00692ECA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6C1" w:rsidRPr="00692ECA" w:rsidRDefault="007E56C1" w:rsidP="0069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92E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Глава сельского поселения                                                  </w:t>
      </w:r>
      <w:r w:rsidR="00437F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</w:t>
      </w:r>
      <w:r w:rsidRPr="00692E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437F3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А.В.</w:t>
      </w:r>
      <w:r w:rsidRPr="00692E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3511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Ширяев </w:t>
      </w: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P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Pr="00692ECA" w:rsidRDefault="00692ECA" w:rsidP="00692EC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8D" w:rsidRDefault="0019728D" w:rsidP="007B2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8D" w:rsidRPr="007E56C1" w:rsidRDefault="0019728D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C8" w:rsidRPr="007E56C1" w:rsidRDefault="00692ECA" w:rsidP="007B20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B20C8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B20C8" w:rsidRPr="007E56C1">
        <w:rPr>
          <w:rFonts w:ascii="Times New Roman" w:eastAsia="Calibri" w:hAnsi="Times New Roman" w:cs="Times New Roman"/>
          <w:bCs/>
          <w:sz w:val="24"/>
          <w:szCs w:val="24"/>
        </w:rPr>
        <w:t>УТВЕРЖДЕНЫ</w:t>
      </w:r>
    </w:p>
    <w:p w:rsidR="007B20C8" w:rsidRPr="007E56C1" w:rsidRDefault="007B20C8" w:rsidP="007B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>постановлением главы</w:t>
      </w:r>
    </w:p>
    <w:p w:rsidR="007B20C8" w:rsidRPr="007E56C1" w:rsidRDefault="007B20C8" w:rsidP="007B20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поселения </w:t>
      </w:r>
    </w:p>
    <w:p w:rsidR="007B20C8" w:rsidRPr="007E56C1" w:rsidRDefault="007B20C8" w:rsidP="007B2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>Месягутовский сельсовет</w:t>
      </w:r>
    </w:p>
    <w:p w:rsidR="007B20C8" w:rsidRPr="007E56C1" w:rsidRDefault="007B20C8" w:rsidP="007B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от 25 марта  2021 г. № 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Pr="007E56C1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7E56C1" w:rsidRDefault="00692ECA" w:rsidP="007B20C8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определению нормативных затрат на обеспечение функций 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811E3A"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порядок определения нормативных затрат на обеспечение функций 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закупок товаров, работ, услуг (далее – нормативные затраты).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Нормативные затраты применяются для обоснования объекта и (или) объектов закупки 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 к настоящим Требованиям к определению нормативных затрат (далее - Правила) определяются в порядке, устанавливаемом администрацией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нормативных затрат Администрация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определения нормативных затрат в соответствии с разделами </w:t>
      </w:r>
      <w:r w:rsidRPr="007E5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E5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с разделами </w:t>
      </w:r>
      <w:r w:rsidRPr="007E5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E5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связи с учетом нормативов, предусмотренных приложением к Правилам;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количества </w:t>
      </w:r>
      <w:r w:rsidRPr="007E56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связи с учетом нормативов, предусмотренных приложением к Правилам;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811E3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</w:t>
      </w:r>
      <w:r w:rsidR="007B20C8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Т.В.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Default="00692ECA" w:rsidP="007E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C1" w:rsidRPr="007E56C1" w:rsidRDefault="007E56C1" w:rsidP="007E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требованиям к определению нормативных затрат на обеспечение функций </w:t>
      </w:r>
      <w:r w:rsidR="007B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BA4F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определения нормативных затрат на обеспечение функций Администрации сельского поселений </w:t>
      </w:r>
      <w:r w:rsidR="003511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Месягутовский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r w:rsidR="00BA4F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Затраты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услуги связи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абонентскую плату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4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4800" cy="219075"/>
            <wp:effectExtent l="0" t="0" r="0" b="0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подвижной связи (З</w:t>
      </w:r>
      <w:r w:rsidRPr="00692E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692ECA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сеть "Интернет" и услуги интернет-провайдеров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предоставлению цифровых потоков для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коммутируемых телефонных соединений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иных услуг связи в сфере информационно-коммуникационных технологий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00175" cy="219075"/>
            <wp:effectExtent l="0" t="0" r="0" b="0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19075"/>
            <wp:effectExtent l="0" t="0" r="0" b="0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0" b="0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справочно-правовых систем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сопровождению и приобретению иного программного обеспечения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услуг, связанных с обеспечением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проведение аттестационных, проверочных и контрольных мероприятий      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219325" cy="438150"/>
            <wp:effectExtent l="0" t="0" r="0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i-го объекта (помещения);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lastRenderedPageBreak/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j-го оборудования (устройства).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работ по монтажу (установке), дооборудованию и наладке оборудования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рабочих станций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0" t="0" r="0" b="0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Предельное количество рабочих станций по i-й должности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71500" cy="219075"/>
            <wp:effectExtent l="0" t="0" r="0" b="0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219075"/>
            <wp:effectExtent l="0" t="0" r="0" b="0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23875" cy="219075"/>
            <wp:effectExtent l="0" t="0" r="0" b="0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0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lastRenderedPageBreak/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сотовых телефонов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сотовых телефонов по i-й должности в соответствии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 муниципальных органов, определенными с учетом нормативов затрат на приобретение средств связи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1 сотового телефона для i-й должности в соответствии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 муниципальных органов, определенными с учетом нормативов затрат на приобретение средств связи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планшетных компьютеров,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ноутбуков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466725" cy="276225"/>
            <wp:effectExtent l="0" t="0" r="0" b="0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52425" cy="276225"/>
            <wp:effectExtent l="0" t="0" r="0" b="0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оборудования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52425" cy="219075"/>
            <wp:effectExtent l="0" t="0" r="0" b="0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мониторов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системных блоков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других запасных частей для вычислительной техники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магнитных и оптических носителей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lastRenderedPageBreak/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материальных запасов по обеспечению безопасности информации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Прочие затраты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услуги связи (</w:t>
      </w:r>
      <w:r w:rsidRPr="00692ECA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847725" cy="247650"/>
            <wp:effectExtent l="0" t="0" r="0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почтовой связи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почтового отправления.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специальной связи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об оказании услуг перевозки (транспортировки) грузов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аренды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219075"/>
            <wp:effectExtent l="0" t="0" r="0" b="0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r w:rsidR="0076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r w:rsidR="00760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разовых услуг пассажирских перевозок при проведении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проезда работника к месту нахождения учебного заведения и обратно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i-мунаправлению;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расходов по договорам об оказании услуг,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0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проезд к месту командирования и обратно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19075"/>
            <wp:effectExtent l="0" t="0" r="0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219075"/>
            <wp:effectExtent l="0" t="0" r="0" b="0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по договору на найм жилого помещения на период командирования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 на коммунальные услуги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90775" cy="219075"/>
            <wp:effectExtent l="0" t="0" r="0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газоснабжение и иные виды топлива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электроснабжение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одноставочного, дифференцированного по зонам суток или двуставочного тарифа);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теплоснабжение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38225" cy="219075"/>
            <wp:effectExtent l="0" t="0" r="0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горячее водоснабжение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62025" cy="219075"/>
            <wp:effectExtent l="0" t="0" r="0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холодное водоснабжение и водоотведение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0" cy="219075"/>
            <wp:effectExtent l="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381000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S - площадь, установленная в соответствии с решением Совета сельского поселения </w:t>
      </w:r>
      <w:r w:rsidR="0035114A"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F79E2"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Башкортостан 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r w:rsidR="007E56C1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 г. №275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35114A"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Месягутовский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сельсовет муниципального района </w:t>
      </w:r>
      <w:r w:rsidR="003F79E2"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Дуванский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помещения (зала) для проведения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аренду оборудования для проведения совещания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55.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содержание и техническое обслуживание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81450" cy="219075"/>
            <wp:effectExtent l="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56.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закупку услуг управляющей компании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i-го устройства.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сельского поселения </w:t>
      </w:r>
      <w:r w:rsidR="0035114A"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Месягутовский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BA4FB4"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кортостан 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28.03.2019 г. №275 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Месягутовский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сельсовет муниципального района </w:t>
      </w:r>
      <w:r w:rsidR="00BA4FB4"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Дуванский</w:t>
      </w:r>
      <w:r w:rsidRPr="0035114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3511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692ECA">
        <w:rPr>
          <w:rFonts w:ascii="Times New Roman" w:eastAsia="Times New Roman" w:hAnsi="Times New Roman" w:cs="Times New Roman"/>
          <w:color w:val="0000FF"/>
          <w:sz w:val="24"/>
          <w:szCs w:val="24"/>
        </w:rPr>
        <w:t>Положения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60.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прилегающей территории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lastRenderedPageBreak/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по обслуживанию и уборке помещения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вывоз твердых бытовых отходов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38225" cy="381000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лифтов i-го типа;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65.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lastRenderedPageBreak/>
        <w:t>насосной станции пожаротушения в расчете на 1 кв. метр площади соответствующего административного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6800" cy="219075"/>
            <wp:effectExtent l="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69.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70.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0" cy="219075"/>
            <wp:effectExtent l="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техническое обслуживание и регламентно-профилактический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 систем видеонаблюдения.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71.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 количество i-х датчиков системы газового пожаротушения;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 количество i-х установок кондиционирования и элементов систем вентиляции;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извещателей пожарной сигнализации;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регламентно-профилактического ремонта 1 i-гоизвещателя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количество i-х устройств в составе систем контроля и управления доступом;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78.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800100" cy="219075"/>
            <wp:effectExtent l="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спецжурналов;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80.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спецжурналов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350" cy="219075"/>
            <wp:effectExtent l="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приобретаемых i-х спецжурналов;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i-госпецжурнала.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09825" cy="438150"/>
            <wp:effectExtent l="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проведение предрейсового и послерейсового осмотра водителей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водителей;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аттестацию специальных помещений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проведение диспансеризации работников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) определяются по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19075"/>
            <wp:effectExtent l="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692E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88" w:history="1">
        <w:r w:rsidRPr="00692ECA">
          <w:rPr>
            <w:rFonts w:ascii="Times New Roman" w:eastAsia="Times New Roman" w:hAnsi="Times New Roman" w:cs="Times New Roman"/>
            <w:sz w:val="24"/>
            <w:szCs w:val="24"/>
          </w:rPr>
          <w:t>пунктом 3 статьи 9</w:t>
        </w:r>
      </w:hyperlink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89.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оплату труда независимых экспертов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390775" cy="27622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90. 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5875" cy="219075"/>
            <wp:effectExtent l="0" t="0" r="0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91.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транспортных средств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муниципальных органов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333375" cy="276225"/>
            <wp:effectExtent l="0" t="0" r="0" b="0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92.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мебели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систем кондиционирования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),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90775" cy="219075"/>
            <wp:effectExtent l="0" t="0" r="0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бланочной продукции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бланка по i-му тиражу;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96.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приобретение хозяйственных товаров и принадлежностей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0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0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99.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Arial" w:eastAsia="Times New Roman" w:hAnsi="Arial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100.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для нужд гражданской обороны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0" b="0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Затраты на капитальный ремонт муниципального имущества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101.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капитальный ремонт муниципального имущества определяются на </w:t>
      </w: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103.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Затраты на финансовое обеспечение строительства, реконструкции 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с элементами реставрации), технического перевооружения объектов капитального строительства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105.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Затраты на дополнительное профессиональное образование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  <w:t>где: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0" b="0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ab/>
      </w:r>
      <w:r w:rsidRPr="00692ECA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0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ECA">
        <w:rPr>
          <w:rFonts w:ascii="Times New Roman" w:eastAsia="Times New Roman" w:hAnsi="Times New Roman" w:cs="Times New Roman"/>
          <w:sz w:val="24"/>
          <w:szCs w:val="24"/>
        </w:rPr>
        <w:tab/>
      </w:r>
      <w:r w:rsidRPr="00692ECA">
        <w:rPr>
          <w:rFonts w:ascii="Times New Roman" w:eastAsia="Times New Roman" w:hAnsi="Times New Roman" w:cs="Times New Roman"/>
          <w:b/>
          <w:bCs/>
          <w:sz w:val="24"/>
          <w:szCs w:val="24"/>
        </w:rPr>
        <w:t>107.</w:t>
      </w:r>
      <w:r w:rsidRPr="00692ECA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692ECA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ECA" w:rsidRPr="007E56C1" w:rsidRDefault="00692ECA" w:rsidP="00692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C1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        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E56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E56C1" w:rsidRPr="007E56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114A" w:rsidRPr="007E56C1">
        <w:rPr>
          <w:rFonts w:ascii="Times New Roman" w:eastAsia="Times New Roman" w:hAnsi="Times New Roman" w:cs="Times New Roman"/>
          <w:sz w:val="24"/>
          <w:szCs w:val="24"/>
        </w:rPr>
        <w:t>Вершинина Т.В.</w:t>
      </w:r>
    </w:p>
    <w:p w:rsidR="00692ECA" w:rsidRDefault="00692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2ECA" w:rsidSect="00DC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C9" w:rsidRDefault="00E460C9" w:rsidP="00575A1D">
      <w:pPr>
        <w:spacing w:after="0" w:line="240" w:lineRule="auto"/>
      </w:pPr>
      <w:r>
        <w:separator/>
      </w:r>
    </w:p>
  </w:endnote>
  <w:endnote w:type="continuationSeparator" w:id="0">
    <w:p w:rsidR="00E460C9" w:rsidRDefault="00E460C9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C9" w:rsidRDefault="00E460C9" w:rsidP="00575A1D">
      <w:pPr>
        <w:spacing w:after="0" w:line="240" w:lineRule="auto"/>
      </w:pPr>
      <w:r>
        <w:separator/>
      </w:r>
    </w:p>
  </w:footnote>
  <w:footnote w:type="continuationSeparator" w:id="0">
    <w:p w:rsidR="00E460C9" w:rsidRDefault="00E460C9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00606"/>
    <w:rsid w:val="00016B0A"/>
    <w:rsid w:val="000A267C"/>
    <w:rsid w:val="000D0CB3"/>
    <w:rsid w:val="000E46AA"/>
    <w:rsid w:val="00131332"/>
    <w:rsid w:val="0015263E"/>
    <w:rsid w:val="00175101"/>
    <w:rsid w:val="00185059"/>
    <w:rsid w:val="0019728D"/>
    <w:rsid w:val="001C3994"/>
    <w:rsid w:val="001C3C97"/>
    <w:rsid w:val="002001D0"/>
    <w:rsid w:val="0020603B"/>
    <w:rsid w:val="00225156"/>
    <w:rsid w:val="0026338C"/>
    <w:rsid w:val="00287F0B"/>
    <w:rsid w:val="002B1E9C"/>
    <w:rsid w:val="0033242A"/>
    <w:rsid w:val="0035114A"/>
    <w:rsid w:val="003D1E24"/>
    <w:rsid w:val="003D4A92"/>
    <w:rsid w:val="003E17AE"/>
    <w:rsid w:val="003F79E2"/>
    <w:rsid w:val="00426034"/>
    <w:rsid w:val="00426756"/>
    <w:rsid w:val="00430D79"/>
    <w:rsid w:val="00437F33"/>
    <w:rsid w:val="0046670F"/>
    <w:rsid w:val="00480731"/>
    <w:rsid w:val="004818B8"/>
    <w:rsid w:val="004E6EC7"/>
    <w:rsid w:val="0057548A"/>
    <w:rsid w:val="00575A1D"/>
    <w:rsid w:val="00597DF6"/>
    <w:rsid w:val="005B1333"/>
    <w:rsid w:val="0061363B"/>
    <w:rsid w:val="006166C7"/>
    <w:rsid w:val="0064766C"/>
    <w:rsid w:val="00652F7C"/>
    <w:rsid w:val="0068585E"/>
    <w:rsid w:val="00685CD5"/>
    <w:rsid w:val="00692ECA"/>
    <w:rsid w:val="006B4FA8"/>
    <w:rsid w:val="0070547F"/>
    <w:rsid w:val="007216BC"/>
    <w:rsid w:val="007603FD"/>
    <w:rsid w:val="007B20C8"/>
    <w:rsid w:val="007E56C1"/>
    <w:rsid w:val="007E5EEA"/>
    <w:rsid w:val="00811E3A"/>
    <w:rsid w:val="00865D2B"/>
    <w:rsid w:val="008876E0"/>
    <w:rsid w:val="00890D52"/>
    <w:rsid w:val="008E3F60"/>
    <w:rsid w:val="008E6097"/>
    <w:rsid w:val="00915F4F"/>
    <w:rsid w:val="00937470"/>
    <w:rsid w:val="00A02BFB"/>
    <w:rsid w:val="00A570E2"/>
    <w:rsid w:val="00A7007A"/>
    <w:rsid w:val="00AA48BF"/>
    <w:rsid w:val="00AA4E13"/>
    <w:rsid w:val="00AD5F95"/>
    <w:rsid w:val="00B13FDD"/>
    <w:rsid w:val="00B8534D"/>
    <w:rsid w:val="00B97648"/>
    <w:rsid w:val="00BA4FB4"/>
    <w:rsid w:val="00BA7A63"/>
    <w:rsid w:val="00BE1F03"/>
    <w:rsid w:val="00C00AC9"/>
    <w:rsid w:val="00C31D78"/>
    <w:rsid w:val="00C51804"/>
    <w:rsid w:val="00C7415A"/>
    <w:rsid w:val="00C753DD"/>
    <w:rsid w:val="00C8163E"/>
    <w:rsid w:val="00CC79B8"/>
    <w:rsid w:val="00D45641"/>
    <w:rsid w:val="00DA06E8"/>
    <w:rsid w:val="00DC2A31"/>
    <w:rsid w:val="00DC57F8"/>
    <w:rsid w:val="00DE2B08"/>
    <w:rsid w:val="00E27974"/>
    <w:rsid w:val="00E460C9"/>
    <w:rsid w:val="00E561FC"/>
    <w:rsid w:val="00E874ED"/>
    <w:rsid w:val="00E96DCD"/>
    <w:rsid w:val="00EA03F9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F97F9F"/>
  <w15:docId w15:val="{1BC34C08-7826-46AE-968B-2295A342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8"/>
  </w:style>
  <w:style w:type="paragraph" w:styleId="1">
    <w:name w:val="heading 1"/>
    <w:basedOn w:val="a"/>
    <w:next w:val="a"/>
    <w:link w:val="10"/>
    <w:uiPriority w:val="99"/>
    <w:qFormat/>
    <w:rsid w:val="00692E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92E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2EC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2E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92E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92EC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character" w:customStyle="1" w:styleId="10">
    <w:name w:val="Заголовок 1 Знак"/>
    <w:basedOn w:val="a0"/>
    <w:link w:val="1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2EC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92ECA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92EC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ECA"/>
  </w:style>
  <w:style w:type="paragraph" w:styleId="a9">
    <w:name w:val="Body Text"/>
    <w:basedOn w:val="a"/>
    <w:link w:val="aa"/>
    <w:uiPriority w:val="99"/>
    <w:rsid w:val="00692E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692ECA"/>
    <w:pPr>
      <w:framePr w:w="4701" w:h="2313" w:hSpace="180" w:wrap="auto" w:vAnchor="text" w:hAnchor="page" w:x="6049" w:y="397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92E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692E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92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692E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92ECA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"/>
    <w:link w:val="24"/>
    <w:uiPriority w:val="99"/>
    <w:rsid w:val="00692E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2E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rsid w:val="00692ECA"/>
    <w:rPr>
      <w:color w:val="0000FF"/>
      <w:u w:val="single"/>
    </w:rPr>
  </w:style>
  <w:style w:type="paragraph" w:customStyle="1" w:styleId="ConsPlusNormal">
    <w:name w:val="ConsPlusNormal"/>
    <w:uiPriority w:val="99"/>
    <w:rsid w:val="00692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437F33"/>
    <w:pPr>
      <w:spacing w:after="0" w:line="240" w:lineRule="auto"/>
    </w:p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7B20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5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6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hyperlink" Target="consultantplus://offline/ref=01B6F67184E077630D37875A64F05E22E4996A8519722A3207214A8A3A624E7419DF5C00B68D1E01B5ZDL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378" Type="http://schemas.openxmlformats.org/officeDocument/2006/relationships/image" Target="media/image372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image" Target="media/image437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hyperlink" Target="consultantplus://offline/ref=01B6F67184E077630D37875A64F05E22E496648113732A3207214A8A3AB6Z2L" TargetMode="External"/><Relationship Id="rId7" Type="http://schemas.openxmlformats.org/officeDocument/2006/relationships/image" Target="media/image1.png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8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9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image" Target="media/image440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fontTable" Target="fontTable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theme" Target="theme/theme1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8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9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80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6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8728</Words>
  <Characters>49755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2021-03-26T07:26:00Z</cp:lastPrinted>
  <dcterms:created xsi:type="dcterms:W3CDTF">2020-12-22T06:26:00Z</dcterms:created>
  <dcterms:modified xsi:type="dcterms:W3CDTF">2021-03-26T10:09:00Z</dcterms:modified>
</cp:coreProperties>
</file>